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trPr>
          <w:cantSplit/>
          <w:trHeight w:val="357"/>
        </w:trPr>
        <w:tc>
          <w:tcPr>
            <w:tcW w:w="1617" w:type="dxa"/>
            <w:tcBorders>
              <w:top w:val="single" w:sz="12" w:space="0" w:color="auto"/>
            </w:tcBorders>
          </w:tcPr>
          <w:p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762E0E" w:rsidRDefault="000E0B4C">
            <w:r>
              <w:t>1</w:t>
            </w:r>
            <w:r w:rsidR="003D6335">
              <w:t>2</w:t>
            </w:r>
          </w:p>
        </w:tc>
        <w:tc>
          <w:tcPr>
            <w:tcW w:w="1843" w:type="dxa"/>
            <w:gridSpan w:val="2"/>
            <w:tcBorders>
              <w:top w:val="single" w:sz="12" w:space="0" w:color="auto"/>
            </w:tcBorders>
          </w:tcPr>
          <w:p w:rsidR="00762E0E" w:rsidRDefault="00762E0E">
            <w:pPr>
              <w:rPr>
                <w:b/>
                <w:bCs/>
              </w:rPr>
            </w:pPr>
            <w:r>
              <w:rPr>
                <w:b/>
                <w:bCs/>
              </w:rPr>
              <w:t>Meeting, date:</w:t>
            </w:r>
          </w:p>
        </w:tc>
        <w:tc>
          <w:tcPr>
            <w:tcW w:w="3912" w:type="dxa"/>
            <w:gridSpan w:val="2"/>
            <w:tcBorders>
              <w:top w:val="single" w:sz="12" w:space="0" w:color="auto"/>
            </w:tcBorders>
          </w:tcPr>
          <w:p w:rsidR="00762E0E" w:rsidRDefault="000E0B4C">
            <w:r w:rsidRPr="000E0B4C">
              <w:t>30 April</w:t>
            </w:r>
            <w:r w:rsidR="00C5007D">
              <w:t xml:space="preserve"> </w:t>
            </w:r>
            <w:r w:rsidRPr="000E0B4C">
              <w:t>-</w:t>
            </w:r>
            <w:r w:rsidR="00C5007D">
              <w:t xml:space="preserve"> </w:t>
            </w:r>
            <w:r w:rsidRPr="000E0B4C">
              <w:t>11 May 2012</w:t>
            </w:r>
          </w:p>
        </w:tc>
      </w:tr>
      <w:bookmarkEnd w:id="0"/>
      <w:tr w:rsidR="00762E0E">
        <w:trPr>
          <w:cantSplit/>
          <w:trHeight w:val="357"/>
        </w:trPr>
        <w:tc>
          <w:tcPr>
            <w:tcW w:w="1617" w:type="dxa"/>
          </w:tcPr>
          <w:p w:rsidR="00762E0E" w:rsidRDefault="00762E0E">
            <w:pPr>
              <w:rPr>
                <w:b/>
                <w:bCs/>
              </w:rPr>
            </w:pPr>
            <w:r>
              <w:rPr>
                <w:b/>
                <w:bCs/>
              </w:rPr>
              <w:t>Study Group:</w:t>
            </w:r>
          </w:p>
        </w:tc>
        <w:tc>
          <w:tcPr>
            <w:tcW w:w="567" w:type="dxa"/>
          </w:tcPr>
          <w:p w:rsidR="00762E0E" w:rsidRDefault="003D6335">
            <w:r>
              <w:t>16</w:t>
            </w:r>
          </w:p>
        </w:tc>
        <w:tc>
          <w:tcPr>
            <w:tcW w:w="1984" w:type="dxa"/>
          </w:tcPr>
          <w:p w:rsidR="00762E0E" w:rsidRDefault="00762E0E">
            <w:pPr>
              <w:rPr>
                <w:b/>
                <w:bCs/>
              </w:rPr>
            </w:pPr>
            <w:r>
              <w:rPr>
                <w:b/>
                <w:bCs/>
              </w:rPr>
              <w:t>Working Party:</w:t>
            </w:r>
          </w:p>
        </w:tc>
        <w:tc>
          <w:tcPr>
            <w:tcW w:w="567" w:type="dxa"/>
          </w:tcPr>
          <w:p w:rsidR="00762E0E" w:rsidRDefault="003D6335">
            <w:r>
              <w:t>2</w:t>
            </w:r>
          </w:p>
        </w:tc>
        <w:tc>
          <w:tcPr>
            <w:tcW w:w="4678" w:type="dxa"/>
            <w:gridSpan w:val="2"/>
          </w:tcPr>
          <w:p w:rsidR="00762E0E" w:rsidRDefault="00762E0E">
            <w:r>
              <w:rPr>
                <w:b/>
                <w:bCs/>
              </w:rPr>
              <w:t>Intended type of document</w:t>
            </w:r>
            <w:r>
              <w:t xml:space="preserve"> (R-C-TD):</w:t>
            </w:r>
          </w:p>
        </w:tc>
        <w:tc>
          <w:tcPr>
            <w:tcW w:w="510" w:type="dxa"/>
          </w:tcPr>
          <w:p w:rsidR="00762E0E" w:rsidRDefault="003D6335">
            <w:r>
              <w:t>C</w:t>
            </w:r>
          </w:p>
        </w:tc>
      </w:tr>
      <w:tr w:rsidR="00762E0E">
        <w:trPr>
          <w:cantSplit/>
          <w:trHeight w:val="357"/>
        </w:trPr>
        <w:tc>
          <w:tcPr>
            <w:tcW w:w="1617" w:type="dxa"/>
          </w:tcPr>
          <w:p w:rsidR="00762E0E" w:rsidRDefault="00762E0E">
            <w:pPr>
              <w:rPr>
                <w:b/>
                <w:bCs/>
              </w:rPr>
            </w:pPr>
            <w:bookmarkStart w:id="2" w:name="dsource" w:colFirst="1" w:colLast="1"/>
            <w:r>
              <w:rPr>
                <w:b/>
                <w:bCs/>
              </w:rPr>
              <w:t>Source:</w:t>
            </w:r>
          </w:p>
        </w:tc>
        <w:tc>
          <w:tcPr>
            <w:tcW w:w="8306" w:type="dxa"/>
            <w:gridSpan w:val="6"/>
          </w:tcPr>
          <w:p w:rsidR="00762E0E" w:rsidRDefault="003D6335">
            <w:r>
              <w:t>Cisco Systems, Inc.</w:t>
            </w:r>
          </w:p>
        </w:tc>
      </w:tr>
      <w:tr w:rsidR="00762E0E">
        <w:trPr>
          <w:cantSplit/>
          <w:trHeight w:val="357"/>
        </w:trPr>
        <w:tc>
          <w:tcPr>
            <w:tcW w:w="1617" w:type="dxa"/>
            <w:tcBorders>
              <w:bottom w:val="single" w:sz="12" w:space="0" w:color="auto"/>
            </w:tcBorders>
          </w:tcPr>
          <w:p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762E0E" w:rsidRDefault="000E0B4C">
            <w:r>
              <w:t xml:space="preserve">AMS Information Flows and </w:t>
            </w:r>
            <w:r w:rsidR="001A58EB">
              <w:t>Signalling</w:t>
            </w:r>
          </w:p>
        </w:tc>
      </w:tr>
      <w:tr w:rsidR="00762E0E">
        <w:trPr>
          <w:cantSplit/>
          <w:trHeight w:val="204"/>
        </w:trPr>
        <w:tc>
          <w:tcPr>
            <w:tcW w:w="1617" w:type="dxa"/>
            <w:tcBorders>
              <w:top w:val="single" w:sz="12" w:space="0" w:color="auto"/>
            </w:tcBorders>
          </w:tcPr>
          <w:p w:rsidR="00762E0E" w:rsidRDefault="00762E0E">
            <w:pPr>
              <w:rPr>
                <w:b/>
                <w:bCs/>
              </w:rPr>
            </w:pPr>
            <w:bookmarkStart w:id="4" w:name="dcontact"/>
            <w:bookmarkEnd w:id="3"/>
            <w:r>
              <w:rPr>
                <w:b/>
                <w:bCs/>
              </w:rPr>
              <w:t>Contact:</w:t>
            </w:r>
          </w:p>
        </w:tc>
        <w:tc>
          <w:tcPr>
            <w:tcW w:w="4394" w:type="dxa"/>
            <w:gridSpan w:val="4"/>
            <w:tcBorders>
              <w:top w:val="single" w:sz="12" w:space="0" w:color="auto"/>
            </w:tcBorders>
          </w:tcPr>
          <w:p w:rsidR="003D6335" w:rsidRDefault="003D6335" w:rsidP="003D6335">
            <w:r>
              <w:t>Paul E. Jones</w:t>
            </w:r>
            <w:r>
              <w:br/>
              <w:t>Cisco Systems, Inc.</w:t>
            </w:r>
          </w:p>
          <w:p w:rsidR="00762E0E" w:rsidRDefault="003D6335" w:rsidP="003D6335">
            <w:pPr>
              <w:spacing w:before="0"/>
            </w:pPr>
            <w:r>
              <w:t>USA</w:t>
            </w:r>
          </w:p>
        </w:tc>
        <w:tc>
          <w:tcPr>
            <w:tcW w:w="3912" w:type="dxa"/>
            <w:gridSpan w:val="2"/>
            <w:tcBorders>
              <w:top w:val="single" w:sz="12" w:space="0" w:color="auto"/>
            </w:tcBorders>
          </w:tcPr>
          <w:p w:rsidR="00762E0E" w:rsidRDefault="00762E0E">
            <w:r>
              <w:t>Tel:</w:t>
            </w:r>
            <w:r w:rsidR="003D6335">
              <w:tab/>
              <w:t>+1 919 476 2048</w:t>
            </w:r>
          </w:p>
          <w:p w:rsidR="00762E0E" w:rsidRDefault="00762E0E">
            <w:pPr>
              <w:spacing w:before="0"/>
            </w:pPr>
            <w:r>
              <w:t>Fax:</w:t>
            </w:r>
          </w:p>
          <w:p w:rsidR="00762E0E" w:rsidRDefault="00762E0E">
            <w:pPr>
              <w:spacing w:before="0"/>
            </w:pPr>
            <w:r>
              <w:t>Email:</w:t>
            </w:r>
            <w:r w:rsidR="003D6335">
              <w:tab/>
              <w:t>paulej@packetizer.com</w:t>
            </w:r>
          </w:p>
        </w:tc>
      </w:tr>
      <w:tr w:rsidR="00762E0E">
        <w:trPr>
          <w:cantSplit/>
          <w:trHeight w:val="204"/>
        </w:trPr>
        <w:tc>
          <w:tcPr>
            <w:tcW w:w="1617" w:type="dxa"/>
            <w:tcBorders>
              <w:top w:val="single" w:sz="12" w:space="0" w:color="auto"/>
            </w:tcBorders>
          </w:tcPr>
          <w:p w:rsidR="00762E0E" w:rsidRDefault="00762E0E">
            <w:pPr>
              <w:rPr>
                <w:b/>
                <w:bCs/>
              </w:rPr>
            </w:pPr>
            <w:bookmarkStart w:id="5" w:name="dcontact1"/>
            <w:bookmarkStart w:id="6" w:name="dcontent" w:colFirst="1" w:colLast="1"/>
            <w:bookmarkEnd w:id="4"/>
            <w:r>
              <w:rPr>
                <w:b/>
                <w:bCs/>
              </w:rPr>
              <w:t>Contact:</w:t>
            </w:r>
          </w:p>
        </w:tc>
        <w:tc>
          <w:tcPr>
            <w:tcW w:w="4394" w:type="dxa"/>
            <w:gridSpan w:val="4"/>
            <w:tcBorders>
              <w:top w:val="single" w:sz="12" w:space="0" w:color="auto"/>
            </w:tcBorders>
          </w:tcPr>
          <w:p w:rsidR="00762E0E" w:rsidRDefault="00762E0E"/>
          <w:p w:rsidR="00762E0E" w:rsidRDefault="00762E0E">
            <w:pPr>
              <w:spacing w:before="0"/>
            </w:pPr>
          </w:p>
          <w:p w:rsidR="00762E0E" w:rsidRDefault="00762E0E">
            <w:pPr>
              <w:spacing w:before="0"/>
            </w:pPr>
          </w:p>
        </w:tc>
        <w:tc>
          <w:tcPr>
            <w:tcW w:w="3912"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p>
        </w:tc>
      </w:tr>
      <w:bookmarkEnd w:id="5"/>
      <w:bookmarkEnd w:id="6"/>
      <w:tr w:rsidR="00762E0E">
        <w:trPr>
          <w:cantSplit/>
          <w:trHeight w:val="204"/>
        </w:trPr>
        <w:tc>
          <w:tcPr>
            <w:tcW w:w="9923" w:type="dxa"/>
            <w:gridSpan w:val="7"/>
            <w:tcBorders>
              <w:top w:val="single" w:sz="12" w:space="0" w:color="auto"/>
            </w:tcBorders>
          </w:tcPr>
          <w:p w:rsidR="00762E0E" w:rsidRDefault="00762E0E">
            <w:pPr>
              <w:spacing w:before="0"/>
              <w:rPr>
                <w:sz w:val="18"/>
              </w:rPr>
            </w:pPr>
            <w:r>
              <w:rPr>
                <w:sz w:val="18"/>
              </w:rPr>
              <w:t>Please don’t change the structure of this table, just insert the necessary information.</w:t>
            </w:r>
          </w:p>
        </w:tc>
      </w:tr>
    </w:tbl>
    <w:bookmarkEnd w:id="1"/>
    <w:p w:rsidR="00762E0E" w:rsidRDefault="000E0B4C" w:rsidP="00663764">
      <w:pPr>
        <w:pStyle w:val="Heading1"/>
      </w:pPr>
      <w:r>
        <w:t>Introduction</w:t>
      </w:r>
    </w:p>
    <w:p w:rsidR="000E0B4C" w:rsidRDefault="000E0B4C">
      <w:r>
        <w:t>During the past several meetings, Question 12 has focused on information flows</w:t>
      </w:r>
      <w:r w:rsidR="002C2C07">
        <w:t>, control and indication messages</w:t>
      </w:r>
      <w:r>
        <w:t xml:space="preserve">, </w:t>
      </w:r>
      <w:r w:rsidR="002C2C07">
        <w:t xml:space="preserve">signalling </w:t>
      </w:r>
      <w:r>
        <w:t>interfaces, signalling syntax</w:t>
      </w:r>
      <w:r w:rsidR="00510D31">
        <w:t>, and capability exchange</w:t>
      </w:r>
      <w:r>
        <w:t xml:space="preserve">.  We propose that we continue to drive the work forward focusing </w:t>
      </w:r>
      <w:r w:rsidR="002C2C07">
        <w:t>on these topics during this meeting.  However, we believe it might be useful to review some previously discussed proposals to ensure there is alignment and to try to close on some of the open issues identified.</w:t>
      </w:r>
    </w:p>
    <w:p w:rsidR="002C2C07" w:rsidRDefault="002C2C07" w:rsidP="002C2C07">
      <w:pPr>
        <w:pStyle w:val="Heading1"/>
      </w:pPr>
      <w:r>
        <w:t>Message Flows</w:t>
      </w:r>
    </w:p>
    <w:p w:rsidR="002C2C07" w:rsidRDefault="002C2C07">
      <w:proofErr w:type="spellStart"/>
      <w:r>
        <w:t>Waseda</w:t>
      </w:r>
      <w:proofErr w:type="spellEnd"/>
      <w:r>
        <w:t xml:space="preserve"> University submitted revised message flows for discussion during the last SG16 meeting (see </w:t>
      </w:r>
      <w:hyperlink r:id="rId8" w:history="1">
        <w:r w:rsidRPr="002C2C07">
          <w:rPr>
            <w:rStyle w:val="Hyperlink"/>
          </w:rPr>
          <w:t>C</w:t>
        </w:r>
        <w:r w:rsidR="002F1B8F">
          <w:rPr>
            <w:rStyle w:val="Hyperlink"/>
          </w:rPr>
          <w:t>ontribution C.</w:t>
        </w:r>
        <w:r w:rsidRPr="002C2C07">
          <w:rPr>
            <w:rStyle w:val="Hyperlink"/>
          </w:rPr>
          <w:t>676</w:t>
        </w:r>
      </w:hyperlink>
      <w:r>
        <w:t>).</w:t>
      </w:r>
      <w:r w:rsidR="000E0B4C">
        <w:t xml:space="preserve"> </w:t>
      </w:r>
      <w:r>
        <w:t>We propose walking through those flows once again in an effort to get agreement on the flows and also to close on the open issues identified in Sections A.3 and B.3.</w:t>
      </w:r>
    </w:p>
    <w:p w:rsidR="005F0FEC" w:rsidRDefault="005F0FEC">
      <w:r>
        <w:t>Further, we propose adding the Message Flows to the AMS Working Assumptions document and/or to the AMS specification.  Clearly, the ultimate target is for these flows to be documented in the AMS specification, but the Working Assumptions is an appropriate place until we insert those flows into H.AMS.</w:t>
      </w:r>
    </w:p>
    <w:p w:rsidR="00510D31" w:rsidRDefault="00510D31" w:rsidP="00510D31">
      <w:pPr>
        <w:pStyle w:val="Heading1"/>
      </w:pPr>
      <w:r>
        <w:t>Control and Indications</w:t>
      </w:r>
    </w:p>
    <w:p w:rsidR="00510D31" w:rsidRDefault="00510D31">
      <w:r>
        <w:t>There seemed to be general agreement that we should limit the number of C&amp;I signalling streams</w:t>
      </w:r>
      <w:r w:rsidR="00EE15EF">
        <w:t xml:space="preserve"> as discussed in </w:t>
      </w:r>
      <w:hyperlink r:id="rId9" w:history="1">
        <w:r w:rsidR="002F1B8F" w:rsidRPr="00EE15EF">
          <w:rPr>
            <w:rStyle w:val="Hyperlink"/>
          </w:rPr>
          <w:t>C</w:t>
        </w:r>
        <w:r w:rsidR="002F1B8F">
          <w:rPr>
            <w:rStyle w:val="Hyperlink"/>
          </w:rPr>
          <w:t>ontribution C.</w:t>
        </w:r>
        <w:r w:rsidR="00EE15EF" w:rsidRPr="00EE15EF">
          <w:rPr>
            <w:rStyle w:val="Hyperlink"/>
          </w:rPr>
          <w:t>675</w:t>
        </w:r>
      </w:hyperlink>
      <w:r>
        <w:t xml:space="preserve">.  It was also noted that we need a reliable transport for all </w:t>
      </w:r>
      <w:r w:rsidR="002F1B8F">
        <w:t>identified</w:t>
      </w:r>
      <w:r>
        <w:t xml:space="preserve"> C&amp;I signals, except for Far-End Camera Control (FECC).  It is envisaged that Interface K will be used to deliver</w:t>
      </w:r>
      <w:r w:rsidR="002F1B8F">
        <w:t xml:space="preserve"> these</w:t>
      </w:r>
      <w:r>
        <w:t xml:space="preserve"> </w:t>
      </w:r>
      <w:r w:rsidR="002F1B8F">
        <w:t>signals</w:t>
      </w:r>
      <w:r>
        <w:t xml:space="preserve"> between applications</w:t>
      </w:r>
      <w:r w:rsidR="002F1B8F">
        <w:t>, which is a direct application-to-application interface</w:t>
      </w:r>
      <w:r>
        <w:t>.</w:t>
      </w:r>
    </w:p>
    <w:p w:rsidR="00510D31" w:rsidRDefault="002F1B8F">
      <w:r>
        <w:t>From</w:t>
      </w:r>
      <w:r w:rsidR="00510D31">
        <w:t xml:space="preserve"> the meeting report from </w:t>
      </w:r>
      <w:r>
        <w:t xml:space="preserve">the </w:t>
      </w:r>
      <w:r w:rsidR="00510D31">
        <w:t xml:space="preserve">last meeting, it </w:t>
      </w:r>
      <w:r w:rsidR="00EE15EF">
        <w:t>appeared</w:t>
      </w:r>
      <w:r w:rsidR="00510D31">
        <w:t xml:space="preserve"> that there was agreement to consider an application layer retransmission mechanism for </w:t>
      </w:r>
      <w:proofErr w:type="gramStart"/>
      <w:r w:rsidR="00510D31">
        <w:t>C&amp;I</w:t>
      </w:r>
      <w:proofErr w:type="gramEnd"/>
      <w:r w:rsidR="00510D31">
        <w:t xml:space="preserve"> delivery.  We propose that we should do the same for all signalling interfaces (</w:t>
      </w:r>
      <w:r w:rsidR="00EE15EF">
        <w:t>i.e</w:t>
      </w:r>
      <w:r w:rsidR="00510D31">
        <w:t>., Interface A</w:t>
      </w:r>
      <w:r w:rsidR="00EE15EF">
        <w:t>,</w:t>
      </w:r>
      <w:r w:rsidR="00510D31">
        <w:t xml:space="preserve"> Interface B</w:t>
      </w:r>
      <w:r w:rsidR="00EE15EF">
        <w:t>, Interface E</w:t>
      </w:r>
      <w:r w:rsidR="00E2499D">
        <w:t>, and Interface K</w:t>
      </w:r>
      <w:r w:rsidR="00510D31">
        <w:t>)</w:t>
      </w:r>
      <w:r w:rsidR="00EE15EF">
        <w:t xml:space="preserve">.  </w:t>
      </w:r>
      <w:r>
        <w:t>Thus</w:t>
      </w:r>
      <w:r w:rsidR="00EE15EF">
        <w:t xml:space="preserve"> as we discuss signalling syntax, we should be mindful of the transport and application layer retransmission mechanism.</w:t>
      </w:r>
    </w:p>
    <w:p w:rsidR="00EE15EF" w:rsidRDefault="00EE15EF">
      <w:r>
        <w:t xml:space="preserve">We also noted agreement to define </w:t>
      </w:r>
      <w:proofErr w:type="gramStart"/>
      <w:r>
        <w:t>C&amp;I</w:t>
      </w:r>
      <w:proofErr w:type="gramEnd"/>
      <w:r>
        <w:t xml:space="preserve"> messages using XML to be consistent with all other AMS signalling.</w:t>
      </w:r>
      <w:r w:rsidR="004E3315">
        <w:t xml:space="preserve">  This is consistent with the Working Assumptions text, but perhaps that should be explicitly stated.</w:t>
      </w:r>
    </w:p>
    <w:p w:rsidR="004E3315" w:rsidRDefault="004E3315">
      <w:r>
        <w:lastRenderedPageBreak/>
        <w:t xml:space="preserve">We also need to ensure that we do not lose track of the </w:t>
      </w:r>
      <w:proofErr w:type="gramStart"/>
      <w:r>
        <w:t>C&amp;I</w:t>
      </w:r>
      <w:proofErr w:type="gramEnd"/>
      <w:r>
        <w:t xml:space="preserve"> </w:t>
      </w:r>
      <w:proofErr w:type="spellStart"/>
      <w:r>
        <w:t>spreadsheet</w:t>
      </w:r>
      <w:proofErr w:type="spellEnd"/>
      <w:r>
        <w:t xml:space="preserve"> attached to C</w:t>
      </w:r>
      <w:r w:rsidR="002F1B8F">
        <w:t>.</w:t>
      </w:r>
      <w:r>
        <w:t>675.</w:t>
      </w:r>
      <w:r w:rsidR="002F1B8F">
        <w:t xml:space="preserve">  So, we propose to </w:t>
      </w:r>
      <w:r w:rsidR="005F0FEC">
        <w:t>make a reference to the</w:t>
      </w:r>
      <w:r w:rsidR="002F1B8F">
        <w:t xml:space="preserve"> </w:t>
      </w:r>
      <w:proofErr w:type="spellStart"/>
      <w:r w:rsidR="002F1B8F">
        <w:t>spreadsheet</w:t>
      </w:r>
      <w:proofErr w:type="spellEnd"/>
      <w:r w:rsidR="002F1B8F">
        <w:t xml:space="preserve"> </w:t>
      </w:r>
      <w:r w:rsidR="005F0FEC">
        <w:t>from within the AMS Working Assumptions document.</w:t>
      </w:r>
    </w:p>
    <w:p w:rsidR="002C2C07" w:rsidRDefault="002C2C07" w:rsidP="002C2C07">
      <w:pPr>
        <w:pStyle w:val="Heading1"/>
      </w:pPr>
      <w:r>
        <w:t>Signalling Syntax</w:t>
      </w:r>
    </w:p>
    <w:p w:rsidR="000E0B4C" w:rsidRDefault="002C2C07">
      <w:r>
        <w:t>As noted in the Q12 meeting report from the last meeting with respect to C</w:t>
      </w:r>
      <w:r w:rsidR="005F0FEC">
        <w:t>.</w:t>
      </w:r>
      <w:r>
        <w:t>6</w:t>
      </w:r>
      <w:r w:rsidR="005F0FEC">
        <w:t>7</w:t>
      </w:r>
      <w:r>
        <w:t>6, “</w:t>
      </w:r>
      <w:r w:rsidRPr="002C2C07">
        <w:t>The next step is to continue to progress the flow by starting to work in line with the signalling specification and to close open items.</w:t>
      </w:r>
      <w:r>
        <w:t>”  We agree that we need to coordinate these flows with a discussion of signalling syntax.</w:t>
      </w:r>
    </w:p>
    <w:p w:rsidR="002C2C07" w:rsidRDefault="002C2C07">
      <w:r>
        <w:t xml:space="preserve">Some syntax elements have been presented before, but </w:t>
      </w:r>
      <w:r w:rsidR="00903371">
        <w:t>text</w:t>
      </w:r>
      <w:r>
        <w:t xml:space="preserve"> was</w:t>
      </w:r>
      <w:r w:rsidR="005F0FEC">
        <w:t xml:space="preserve"> not</w:t>
      </w:r>
      <w:r>
        <w:t xml:space="preserve"> submitted </w:t>
      </w:r>
      <w:r w:rsidR="00903371">
        <w:t xml:space="preserve">as a proposal to get agreement, per se.  Rather, syntax discussions to this point have been to </w:t>
      </w:r>
      <w:r>
        <w:t xml:space="preserve">further thinking on the message flows.  Perhaps it is now time to </w:t>
      </w:r>
      <w:r w:rsidR="00903371">
        <w:t>work toward defining what messages we expect to employ.  Those should align with the message flows, of course, but we may see a need to modify the message flows as these go hand-in-hand.</w:t>
      </w:r>
    </w:p>
    <w:p w:rsidR="00903371" w:rsidRDefault="00903371">
      <w:r>
        <w:t>At the same time, we should dive into the details of those messages.  For example, we have identified a “Register” message and a “Session Establish” message.  However, we have not discussed in detail what those messages would contain.  AVD-4133, for example, introduced some of the possible message primitives.  We have updated that contribution and submitted it to this meeting for further consideration.</w:t>
      </w:r>
    </w:p>
    <w:p w:rsidR="00903371" w:rsidRDefault="00903371" w:rsidP="00903371">
      <w:pPr>
        <w:pStyle w:val="Heading1"/>
      </w:pPr>
      <w:r>
        <w:t xml:space="preserve">Signalling </w:t>
      </w:r>
      <w:r w:rsidR="00EE15EF">
        <w:t>Interfaces</w:t>
      </w:r>
    </w:p>
    <w:p w:rsidR="00903371" w:rsidRDefault="00903371">
      <w:r>
        <w:t>We believe that all of the Interfaces are now defined, though we should review each of them to confirm this is the case.  The signalling interfaces defined for AMS are documented below</w:t>
      </w:r>
      <w:r w:rsidR="00973C4A">
        <w:t xml:space="preserve"> (taken from H.AMS)</w:t>
      </w:r>
      <w:r>
        <w:t>:</w:t>
      </w:r>
    </w:p>
    <w:p w:rsidR="00630EE6" w:rsidRDefault="00630EE6" w:rsidP="00630EE6">
      <w:pPr>
        <w:pStyle w:val="ListParagraph"/>
        <w:numPr>
          <w:ilvl w:val="0"/>
          <w:numId w:val="8"/>
        </w:numPr>
      </w:pPr>
      <w:r>
        <w:t>Interface “A”: This interface refers to the communication control between two AMS Assemblages.</w:t>
      </w:r>
    </w:p>
    <w:p w:rsidR="00630EE6" w:rsidRDefault="00630EE6" w:rsidP="00630EE6">
      <w:pPr>
        <w:pStyle w:val="ListParagraph"/>
        <w:numPr>
          <w:ilvl w:val="0"/>
          <w:numId w:val="8"/>
        </w:numPr>
      </w:pPr>
      <w:r>
        <w:t>Interface “B”: This interface refers to the communication control between the Applications within the AMS Assemblage and the Container function.</w:t>
      </w:r>
    </w:p>
    <w:p w:rsidR="00630EE6" w:rsidRDefault="00630EE6" w:rsidP="00630EE6">
      <w:pPr>
        <w:pStyle w:val="ListParagraph"/>
        <w:numPr>
          <w:ilvl w:val="0"/>
          <w:numId w:val="8"/>
        </w:numPr>
      </w:pPr>
      <w:r>
        <w:t>Interface “C”: This interface refers to the media stream between two AMS Assemblages.</w:t>
      </w:r>
    </w:p>
    <w:p w:rsidR="00630EE6" w:rsidRDefault="00630EE6" w:rsidP="00630EE6">
      <w:pPr>
        <w:pStyle w:val="ListParagraph"/>
        <w:numPr>
          <w:ilvl w:val="0"/>
          <w:numId w:val="8"/>
        </w:numPr>
      </w:pPr>
      <w:r>
        <w:t>Interface “E”: This interface refers to the network access control between the Assemblage and Service Node for use of the network resources.</w:t>
      </w:r>
    </w:p>
    <w:p w:rsidR="00630EE6" w:rsidRDefault="00630EE6" w:rsidP="00630EE6">
      <w:pPr>
        <w:pStyle w:val="ListParagraph"/>
        <w:numPr>
          <w:ilvl w:val="0"/>
          <w:numId w:val="8"/>
        </w:numPr>
      </w:pPr>
      <w:r>
        <w:t>Interface “K”: This interface refers to the Application control between two Applications.</w:t>
      </w:r>
    </w:p>
    <w:p w:rsidR="005F0FEC" w:rsidRDefault="005F0FEC" w:rsidP="00630EE6">
      <w:r>
        <w:t>Another Interface previously proposed and not yet documented in AMS is Interface D:</w:t>
      </w:r>
    </w:p>
    <w:p w:rsidR="00903371" w:rsidRDefault="00903371" w:rsidP="00903371">
      <w:pPr>
        <w:pStyle w:val="ListParagraph"/>
        <w:numPr>
          <w:ilvl w:val="0"/>
          <w:numId w:val="6"/>
        </w:numPr>
      </w:pPr>
      <w:r>
        <w:t>Interface D – Container / proxy interface (likely co-located with Container)</w:t>
      </w:r>
    </w:p>
    <w:p w:rsidR="005F0FEC" w:rsidRDefault="005F0FEC" w:rsidP="005F0FEC">
      <w:r>
        <w:t>We should discuss this interface further and add that to H.AMS.  Interface D was identified</w:t>
      </w:r>
      <w:r w:rsidR="00255440">
        <w:t xml:space="preserve"> (see requirement MED-109)</w:t>
      </w:r>
      <w:r>
        <w:t xml:space="preserve"> as an interface that would allow applications to direct signalling and media to the container for transmission to the remote devices.  This might be necessary, for example, to allow certain devices to pass through a NAT/FW.</w:t>
      </w:r>
      <w:r w:rsidR="00973C4A">
        <w:t xml:space="preserve">  The assumption is that the Container would have access to the external communication network, but individual applications may not.  Since we may need this proxy for Interface C and K, perhaps we should define and Interface D</w:t>
      </w:r>
      <w:r w:rsidR="00973C4A" w:rsidRPr="00973C4A">
        <w:rPr>
          <w:vertAlign w:val="subscript"/>
        </w:rPr>
        <w:t>C</w:t>
      </w:r>
      <w:r w:rsidR="00973C4A">
        <w:t xml:space="preserve"> and Interface D</w:t>
      </w:r>
      <w:r w:rsidR="00973C4A" w:rsidRPr="00973C4A">
        <w:rPr>
          <w:vertAlign w:val="subscript"/>
        </w:rPr>
        <w:t>K</w:t>
      </w:r>
      <w:r w:rsidR="00973C4A">
        <w:t xml:space="preserve">.  We would like to discuss this </w:t>
      </w:r>
      <w:r w:rsidR="00255440">
        <w:t>further</w:t>
      </w:r>
      <w:r w:rsidR="00973C4A">
        <w:t>.</w:t>
      </w:r>
    </w:p>
    <w:p w:rsidR="00903371" w:rsidRDefault="00903371" w:rsidP="00903371">
      <w:r>
        <w:t xml:space="preserve">Those </w:t>
      </w:r>
      <w:r w:rsidR="00255440">
        <w:t xml:space="preserve">documented interfaces (except D) are </w:t>
      </w:r>
      <w:r>
        <w:t>shown in this diagram:</w:t>
      </w:r>
    </w:p>
    <w:p w:rsidR="00903371" w:rsidRDefault="00903371" w:rsidP="00903371">
      <w:pPr>
        <w:jc w:val="center"/>
      </w:pPr>
      <w:r>
        <w:rPr>
          <w:noProof/>
          <w:lang w:val="en-US"/>
        </w:rPr>
        <w:lastRenderedPageBreak/>
        <w:drawing>
          <wp:inline distT="0" distB="0" distL="0" distR="0" wp14:anchorId="00A6FA3F" wp14:editId="20DAF16B">
            <wp:extent cx="4680585" cy="3041015"/>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585" cy="3041015"/>
                    </a:xfrm>
                    <a:prstGeom prst="rect">
                      <a:avLst/>
                    </a:prstGeom>
                    <a:noFill/>
                    <a:ln>
                      <a:noFill/>
                    </a:ln>
                  </pic:spPr>
                </pic:pic>
              </a:graphicData>
            </a:graphic>
          </wp:inline>
        </w:drawing>
      </w:r>
    </w:p>
    <w:p w:rsidR="00903371" w:rsidRDefault="00903371" w:rsidP="00903371">
      <w:r>
        <w:t>This diagram appears in the current draft of H.AMS and is reproduced for convenience of readers.</w:t>
      </w:r>
    </w:p>
    <w:p w:rsidR="00EE15EF" w:rsidRDefault="00EE15EF" w:rsidP="00EE15EF">
      <w:pPr>
        <w:pStyle w:val="Heading1"/>
      </w:pPr>
      <w:r>
        <w:t>Capability Exchange</w:t>
      </w:r>
    </w:p>
    <w:p w:rsidR="00EE15EF" w:rsidRDefault="00EE15EF" w:rsidP="00EE15EF">
      <w:bookmarkStart w:id="7" w:name="_GoBack"/>
      <w:bookmarkEnd w:id="7"/>
      <w:r>
        <w:t>Another important topic that we believe needs to be discussed together with these other topics is that of capability exchange.  Specifically, we refer to capability exchange at the session establishment level, not the application level.  AVD-4132 had a discussion of this topic</w:t>
      </w:r>
      <w:r w:rsidR="002A0F8B">
        <w:t xml:space="preserve"> and the text was generally agreed.  However, we have also updated that contribution </w:t>
      </w:r>
      <w:r w:rsidR="00663764">
        <w:t xml:space="preserve">with additional material </w:t>
      </w:r>
      <w:r w:rsidR="002A0F8B">
        <w:t>so that we can discuss it in parallel with these other topics.</w:t>
      </w:r>
    </w:p>
    <w:p w:rsidR="002A0F8B" w:rsidRDefault="002A0F8B" w:rsidP="002A0F8B">
      <w:pPr>
        <w:pStyle w:val="Heading1"/>
      </w:pPr>
      <w:r>
        <w:t>Conclusion</w:t>
      </w:r>
    </w:p>
    <w:p w:rsidR="002A0F8B" w:rsidRDefault="002A0F8B" w:rsidP="002A0F8B">
      <w:r>
        <w:t>Question 12 has made progress, but we need to take the next step of bringing everything together.  We may want to form an ad hoc group to take the concepts presented and prepare text that put some textual “meat” around the concepts and proposal.  This group might want to work through additional call flows, etc.</w:t>
      </w:r>
    </w:p>
    <w:p w:rsidR="00255440" w:rsidRDefault="00255440" w:rsidP="00255440">
      <w:pPr>
        <w:jc w:val="center"/>
      </w:pPr>
      <w:r>
        <w:t>_____________________</w:t>
      </w:r>
    </w:p>
    <w:p w:rsidR="002A0F8B" w:rsidRPr="002A0F8B" w:rsidRDefault="002A0F8B" w:rsidP="002A0F8B"/>
    <w:p w:rsidR="00903371" w:rsidRDefault="00903371" w:rsidP="00903371"/>
    <w:sectPr w:rsidR="00903371">
      <w:headerReference w:type="default" r:id="rId11"/>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C4A" w:rsidRDefault="00973C4A">
      <w:r>
        <w:separator/>
      </w:r>
    </w:p>
  </w:endnote>
  <w:endnote w:type="continuationSeparator" w:id="0">
    <w:p w:rsidR="00973C4A" w:rsidRDefault="0097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C4A" w:rsidRDefault="00973C4A">
      <w:r>
        <w:separator/>
      </w:r>
    </w:p>
  </w:footnote>
  <w:footnote w:type="continuationSeparator" w:id="0">
    <w:p w:rsidR="00973C4A" w:rsidRDefault="00973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C4A" w:rsidRDefault="00973C4A">
    <w:pPr>
      <w:jc w:val="center"/>
    </w:pPr>
    <w:r>
      <w:t xml:space="preserve">- </w:t>
    </w:r>
    <w:r>
      <w:fldChar w:fldCharType="begin"/>
    </w:r>
    <w:r>
      <w:instrText xml:space="preserve"> PAGE </w:instrText>
    </w:r>
    <w:r>
      <w:fldChar w:fldCharType="separate"/>
    </w:r>
    <w:r w:rsidR="00663764">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DE09E9"/>
    <w:multiLevelType w:val="hybridMultilevel"/>
    <w:tmpl w:val="A502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EB4F68"/>
    <w:multiLevelType w:val="hybridMultilevel"/>
    <w:tmpl w:val="04AA3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C93599"/>
    <w:multiLevelType w:val="hybridMultilevel"/>
    <w:tmpl w:val="D56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6A62A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B4C"/>
    <w:rsid w:val="000E0B4C"/>
    <w:rsid w:val="001A58EB"/>
    <w:rsid w:val="00255440"/>
    <w:rsid w:val="002A0F8B"/>
    <w:rsid w:val="002C2C07"/>
    <w:rsid w:val="002F1B8F"/>
    <w:rsid w:val="003D6335"/>
    <w:rsid w:val="004E3315"/>
    <w:rsid w:val="00510D31"/>
    <w:rsid w:val="005D02FE"/>
    <w:rsid w:val="005F0FEC"/>
    <w:rsid w:val="00630EE6"/>
    <w:rsid w:val="00663764"/>
    <w:rsid w:val="00762E0E"/>
    <w:rsid w:val="00903371"/>
    <w:rsid w:val="00973C4A"/>
    <w:rsid w:val="00B4405E"/>
    <w:rsid w:val="00C5007D"/>
    <w:rsid w:val="00C51AEE"/>
    <w:rsid w:val="00E2499D"/>
    <w:rsid w:val="00EE15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numPr>
        <w:numId w:val="9"/>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2C2C07"/>
    <w:rPr>
      <w:color w:val="0000FF" w:themeColor="hyperlink"/>
      <w:u w:val="single"/>
    </w:rPr>
  </w:style>
  <w:style w:type="paragraph" w:styleId="ListParagraph">
    <w:name w:val="List Paragraph"/>
    <w:basedOn w:val="Normal"/>
    <w:uiPriority w:val="34"/>
    <w:qFormat/>
    <w:rsid w:val="009033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numPr>
        <w:numId w:val="9"/>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2C2C07"/>
    <w:rPr>
      <w:color w:val="0000FF" w:themeColor="hyperlink"/>
      <w:u w:val="single"/>
    </w:rPr>
  </w:style>
  <w:style w:type="paragraph" w:styleId="ListParagraph">
    <w:name w:val="List Paragraph"/>
    <w:basedOn w:val="Normal"/>
    <w:uiPriority w:val="34"/>
    <w:qFormat/>
    <w:rsid w:val="009033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09-SG16-C-0676/e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itu.int/md/T09-SG16-C-0675/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204%20-%20ITU-T%20SG16%20-%20Geneva\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259</TotalTime>
  <Pages>3</Pages>
  <Words>1027</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6558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7</cp:revision>
  <cp:lastPrinted>2002-08-01T07:30:00Z</cp:lastPrinted>
  <dcterms:created xsi:type="dcterms:W3CDTF">2012-04-09T22:37:00Z</dcterms:created>
  <dcterms:modified xsi:type="dcterms:W3CDTF">2012-04-11T02:26:00Z</dcterms:modified>
</cp:coreProperties>
</file>